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C0A0E" w14:textId="77777777" w:rsidR="00271AA9" w:rsidRDefault="00271AA9" w:rsidP="00271AA9">
      <w:pPr>
        <w:pStyle w:val="Normaalweb"/>
        <w:spacing w:before="0" w:beforeAutospacing="0" w:after="150" w:afterAutospacing="0"/>
        <w:rPr>
          <w:rFonts w:ascii="Arial" w:hAnsi="Arial" w:cs="Arial"/>
          <w:color w:val="444444"/>
          <w:sz w:val="21"/>
          <w:szCs w:val="21"/>
        </w:rPr>
      </w:pPr>
      <w:r>
        <w:rPr>
          <w:rStyle w:val="Zwaar"/>
          <w:rFonts w:ascii="Arial" w:hAnsi="Arial" w:cs="Arial"/>
          <w:color w:val="444444"/>
          <w:sz w:val="21"/>
          <w:szCs w:val="21"/>
        </w:rPr>
        <w:t>De wetswijzigingen voor 2021, de nieuwe belastingverdragen en de vele jurisprudentie in 2020 en 2021 betreffende de sociale zekerheid en belastingen vragen opnieuw aandacht, om de internationale gevolgen voor werknemers en werkgevers in kaart te brengen.</w:t>
      </w:r>
    </w:p>
    <w:p w14:paraId="2A2A8D95" w14:textId="77777777" w:rsidR="00271AA9" w:rsidRDefault="00271AA9" w:rsidP="00271AA9">
      <w:pPr>
        <w:pStyle w:val="Norma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In de loop van 2020 is veel jurisprudentie verschenen inzake sociale zekerheid en internationale fiscaliteit. Het Belastingplan 2021, de notitie verdragsbeleid 2020 en de gewijzigde belastingverdragen (o.a. Ierland) bevatten nieuwe regelgeving voor de korte en langere termijn. Ook de Covid-19 maatregelen hebben grensoverschrijdende aspecten. De gemaakte afspraken van Nederland met België en Duitsland bieden keuzemogelijkheden. Wat is de beste keuze en hoe verhoudt zich dit bijv. met de kwalificerende buitenlandse belastingplicht? Uiteraard komt ook de </w:t>
      </w:r>
      <w:proofErr w:type="spellStart"/>
      <w:r>
        <w:rPr>
          <w:rFonts w:ascii="Arial" w:hAnsi="Arial" w:cs="Arial"/>
          <w:color w:val="444444"/>
          <w:sz w:val="21"/>
          <w:szCs w:val="21"/>
        </w:rPr>
        <w:t>Brexit</w:t>
      </w:r>
      <w:proofErr w:type="spellEnd"/>
      <w:r>
        <w:rPr>
          <w:rFonts w:ascii="Arial" w:hAnsi="Arial" w:cs="Arial"/>
          <w:color w:val="444444"/>
          <w:sz w:val="21"/>
          <w:szCs w:val="21"/>
        </w:rPr>
        <w:t xml:space="preserve"> aan de orde. Hoe pakt de nieuwe Wet bedrag ineens, RVU en verlofsparen' uit, die de mogelijkheid biedt tot gedeeltelijke afkoop van het pensioen internationaal?</w:t>
      </w:r>
      <w:r>
        <w:rPr>
          <w:rFonts w:ascii="Arial" w:hAnsi="Arial" w:cs="Arial"/>
          <w:color w:val="444444"/>
          <w:sz w:val="21"/>
          <w:szCs w:val="21"/>
        </w:rPr>
        <w:br/>
        <w:t xml:space="preserve">Ook de parlementaire stukken, o.a. </w:t>
      </w:r>
      <w:proofErr w:type="spellStart"/>
      <w:r>
        <w:rPr>
          <w:rFonts w:ascii="Arial" w:hAnsi="Arial" w:cs="Arial"/>
          <w:color w:val="444444"/>
          <w:sz w:val="21"/>
          <w:szCs w:val="21"/>
        </w:rPr>
        <w:t>kamervragen</w:t>
      </w:r>
      <w:proofErr w:type="spellEnd"/>
      <w:r>
        <w:rPr>
          <w:rFonts w:ascii="Arial" w:hAnsi="Arial" w:cs="Arial"/>
          <w:color w:val="444444"/>
          <w:sz w:val="21"/>
          <w:szCs w:val="21"/>
        </w:rPr>
        <w:t xml:space="preserve"> en knelpuntenrapportage (toepassing overheidsartikel, discoördinatie belasting- en premieheffing, invoering WIEG) bevatten belangwekkend nieuws.</w:t>
      </w:r>
      <w:r>
        <w:rPr>
          <w:rFonts w:ascii="Arial" w:hAnsi="Arial" w:cs="Arial"/>
          <w:color w:val="444444"/>
          <w:sz w:val="21"/>
          <w:szCs w:val="21"/>
        </w:rPr>
        <w:br/>
        <w:t>De rechterlijke macht heeft zich in 2020 ook weer uitgesproken over heel veel punten die de grensoverschrijdende werknemer of gepensioneerde raken. Te denken valt aan de jurisprudentie over de vergoedingen van piloten, pensionado’s in Portugal, inkomensafhankelijke heffingskortingen, etc.</w:t>
      </w:r>
    </w:p>
    <w:p w14:paraId="3D866672" w14:textId="77777777" w:rsidR="00271AA9" w:rsidRDefault="00271AA9" w:rsidP="00271AA9">
      <w:pPr>
        <w:pStyle w:val="Normaalweb"/>
        <w:spacing w:before="0" w:beforeAutospacing="0" w:after="150" w:afterAutospacing="0"/>
        <w:rPr>
          <w:rFonts w:ascii="Arial" w:hAnsi="Arial" w:cs="Arial"/>
          <w:color w:val="444444"/>
          <w:sz w:val="21"/>
          <w:szCs w:val="21"/>
        </w:rPr>
      </w:pPr>
      <w:r>
        <w:rPr>
          <w:rStyle w:val="Zwaar"/>
          <w:rFonts w:ascii="Arial" w:hAnsi="Arial" w:cs="Arial"/>
          <w:color w:val="444444"/>
          <w:sz w:val="21"/>
          <w:szCs w:val="21"/>
        </w:rPr>
        <w:t>Als extra kijken we ook nog even terug naar 2020.</w:t>
      </w:r>
    </w:p>
    <w:p w14:paraId="6814EAAB" w14:textId="77777777" w:rsidR="00271AA9" w:rsidRDefault="00271AA9" w:rsidP="00271AA9">
      <w:pPr>
        <w:pStyle w:val="Normaalweb"/>
        <w:spacing w:before="0" w:beforeAutospacing="0" w:after="150" w:afterAutospacing="0"/>
        <w:rPr>
          <w:rFonts w:ascii="Arial" w:hAnsi="Arial" w:cs="Arial"/>
          <w:color w:val="444444"/>
          <w:sz w:val="21"/>
          <w:szCs w:val="21"/>
        </w:rPr>
      </w:pPr>
      <w:r>
        <w:rPr>
          <w:rFonts w:ascii="Arial" w:hAnsi="Arial" w:cs="Arial"/>
          <w:color w:val="444444"/>
          <w:sz w:val="21"/>
          <w:szCs w:val="21"/>
        </w:rPr>
        <w:t>De aangifte 2020 staat weer voor de deur. Welke jurisprudentie, lopende procedures zijn van belang voor de aangifte 2020 van grensoverschrijdende werknemers? Op welke punten is in de loop van 2020 een en ander gebeurd, waarbij vooral de covid-19-maatregelen vragen om speciale aandacht. De afspraken die Nederland heeft gemaakt met Duitsland en België moeten verwerkt worden. Hoe pakt het keuzerecht uit? U krijgt de nodige informatie om te komen tot een juiste aangifte of een goed advies.</w:t>
      </w:r>
    </w:p>
    <w:p w14:paraId="057B985D" w14:textId="77777777" w:rsidR="00271AA9" w:rsidRDefault="00271AA9" w:rsidP="00271AA9">
      <w:pPr>
        <w:pStyle w:val="Normaalweb"/>
        <w:spacing w:before="0" w:beforeAutospacing="0" w:after="150" w:afterAutospacing="0"/>
        <w:rPr>
          <w:rFonts w:ascii="Arial" w:hAnsi="Arial" w:cs="Arial"/>
          <w:color w:val="444444"/>
          <w:sz w:val="21"/>
          <w:szCs w:val="21"/>
        </w:rPr>
      </w:pPr>
      <w:r>
        <w:rPr>
          <w:rStyle w:val="Zwaar"/>
          <w:rFonts w:ascii="Arial" w:hAnsi="Arial" w:cs="Arial"/>
          <w:color w:val="444444"/>
          <w:sz w:val="21"/>
          <w:szCs w:val="21"/>
        </w:rPr>
        <w:t>Tijdens dit seminar brengt mr. Carlo Douven u weer geheel op de hoogte, zowel van de wijzigingen in 2021 t.b.v. uw advieswerk, als van de wijzigingen uit 2020, t.b.v. de binnenkort weer komende belastingaangiftes. Na deze dag bent u weer helemaal bij over de ontwikkelingen bij het grensoverschrijdend werken en wonen van de afgelopen 12 maanden en bent klaar voor de toekomstige ontwikkelingen.</w:t>
      </w:r>
    </w:p>
    <w:p w14:paraId="53A90C49"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t>09.45 uur         Ontvangst</w:t>
      </w:r>
    </w:p>
    <w:p w14:paraId="17492B88"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t>10.00 uur         Grensoverschrijdend werken (</w:t>
      </w:r>
      <w:proofErr w:type="spellStart"/>
      <w:r w:rsidRPr="00271AA9">
        <w:rPr>
          <w:rFonts w:ascii="Arial" w:eastAsia="Times New Roman" w:hAnsi="Arial" w:cs="Arial"/>
          <w:b/>
          <w:bCs/>
          <w:color w:val="444444"/>
          <w:sz w:val="21"/>
          <w:szCs w:val="21"/>
          <w:lang w:val="nl-NL" w:eastAsia="nl-NL"/>
        </w:rPr>
        <w:t>wets</w:t>
      </w:r>
      <w:proofErr w:type="spellEnd"/>
      <w:r w:rsidRPr="00271AA9">
        <w:rPr>
          <w:rFonts w:ascii="Arial" w:eastAsia="Times New Roman" w:hAnsi="Arial" w:cs="Arial"/>
          <w:b/>
          <w:bCs/>
          <w:color w:val="444444"/>
          <w:sz w:val="21"/>
          <w:szCs w:val="21"/>
          <w:lang w:val="nl-NL" w:eastAsia="nl-NL"/>
        </w:rPr>
        <w:t>)wijzigingen 2021</w:t>
      </w:r>
    </w:p>
    <w:p w14:paraId="6D17C02B"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Met onder andere:</w:t>
      </w:r>
    </w:p>
    <w:p w14:paraId="43342190"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t>Wetsvoorstellen</w:t>
      </w:r>
    </w:p>
    <w:p w14:paraId="41F8798A" w14:textId="77777777" w:rsidR="00271AA9" w:rsidRPr="00271AA9" w:rsidRDefault="00271AA9" w:rsidP="00271AA9">
      <w:pPr>
        <w:numPr>
          <w:ilvl w:val="0"/>
          <w:numId w:val="1"/>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Wet bedrag ineens, RVU en verlofsparen</w:t>
      </w:r>
    </w:p>
    <w:p w14:paraId="745B7002" w14:textId="77777777" w:rsidR="00271AA9" w:rsidRPr="00271AA9" w:rsidRDefault="00271AA9" w:rsidP="00271AA9">
      <w:pPr>
        <w:numPr>
          <w:ilvl w:val="0"/>
          <w:numId w:val="1"/>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Wet normalisering rechtspositie ambtenaren</w:t>
      </w:r>
    </w:p>
    <w:p w14:paraId="72E4E480" w14:textId="77777777" w:rsidR="00271AA9" w:rsidRPr="00271AA9" w:rsidRDefault="00271AA9" w:rsidP="00271AA9">
      <w:pPr>
        <w:numPr>
          <w:ilvl w:val="0"/>
          <w:numId w:val="1"/>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Excessief lenen bij de eigen BV</w:t>
      </w:r>
    </w:p>
    <w:p w14:paraId="521EF25E"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br/>
        <w:t>Nieuwe verdragen</w:t>
      </w:r>
    </w:p>
    <w:p w14:paraId="0844E156" w14:textId="77777777" w:rsidR="00271AA9" w:rsidRPr="00271AA9" w:rsidRDefault="00271AA9" w:rsidP="00271AA9">
      <w:pPr>
        <w:numPr>
          <w:ilvl w:val="0"/>
          <w:numId w:val="2"/>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Belastingen: Ierland, Algerije en Zwitserland</w:t>
      </w:r>
    </w:p>
    <w:p w14:paraId="558543E8" w14:textId="77777777" w:rsidR="00271AA9" w:rsidRPr="00271AA9" w:rsidRDefault="00271AA9" w:rsidP="00271AA9">
      <w:pPr>
        <w:numPr>
          <w:ilvl w:val="0"/>
          <w:numId w:val="2"/>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Notitie Fiscaal Verdragsbeleid 2020</w:t>
      </w:r>
    </w:p>
    <w:p w14:paraId="748B06CD"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br/>
        <w:t>Beleid</w:t>
      </w:r>
    </w:p>
    <w:p w14:paraId="1490D96A" w14:textId="77777777" w:rsidR="00271AA9" w:rsidRPr="00271AA9" w:rsidRDefault="00271AA9" w:rsidP="00271AA9">
      <w:pPr>
        <w:numPr>
          <w:ilvl w:val="0"/>
          <w:numId w:val="3"/>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lastRenderedPageBreak/>
        <w:t>Discoördinatie belasting- en premieheffing</w:t>
      </w:r>
    </w:p>
    <w:p w14:paraId="13F18390" w14:textId="77777777" w:rsidR="00271AA9" w:rsidRPr="00271AA9" w:rsidRDefault="00271AA9" w:rsidP="00271AA9">
      <w:pPr>
        <w:numPr>
          <w:ilvl w:val="0"/>
          <w:numId w:val="3"/>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Toepassing overheidsartikel bij thuiswerkende ambtenaar</w:t>
      </w:r>
    </w:p>
    <w:p w14:paraId="3350ECCD"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br/>
        <w:t>Europa</w:t>
      </w:r>
    </w:p>
    <w:p w14:paraId="429944DF" w14:textId="77777777" w:rsidR="00271AA9" w:rsidRPr="00271AA9" w:rsidRDefault="00271AA9" w:rsidP="00271AA9">
      <w:pPr>
        <w:numPr>
          <w:ilvl w:val="0"/>
          <w:numId w:val="4"/>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 xml:space="preserve">Infractieprocedure internationale </w:t>
      </w:r>
      <w:proofErr w:type="spellStart"/>
      <w:r w:rsidRPr="00271AA9">
        <w:rPr>
          <w:rFonts w:ascii="Arial" w:eastAsia="Times New Roman" w:hAnsi="Arial" w:cs="Arial"/>
          <w:color w:val="444444"/>
          <w:sz w:val="21"/>
          <w:szCs w:val="21"/>
          <w:lang w:val="nl-NL" w:eastAsia="nl-NL"/>
        </w:rPr>
        <w:t>waarde-overdracht</w:t>
      </w:r>
      <w:proofErr w:type="spellEnd"/>
    </w:p>
    <w:p w14:paraId="0CF3F508" w14:textId="77777777" w:rsidR="00271AA9" w:rsidRPr="00271AA9" w:rsidRDefault="00271AA9" w:rsidP="00271AA9">
      <w:pPr>
        <w:numPr>
          <w:ilvl w:val="0"/>
          <w:numId w:val="4"/>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DAC 7 - Internationale gegevensuitwisseling digitale platformen</w:t>
      </w:r>
    </w:p>
    <w:p w14:paraId="060BFB77" w14:textId="77777777" w:rsidR="00271AA9" w:rsidRPr="00271AA9" w:rsidRDefault="00271AA9" w:rsidP="00271AA9">
      <w:pPr>
        <w:numPr>
          <w:ilvl w:val="0"/>
          <w:numId w:val="4"/>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DAC 6 – Meldingsplicht grensoverschrijdende constructies</w:t>
      </w:r>
    </w:p>
    <w:p w14:paraId="14BAC99E"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br/>
        <w:t>12.15 uur         Lunchpauze</w:t>
      </w:r>
    </w:p>
    <w:p w14:paraId="5CD56D84"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br/>
        <w:t>Jurisprudentie Europese Hof van Justitie</w:t>
      </w:r>
    </w:p>
    <w:p w14:paraId="02D746DC" w14:textId="77777777" w:rsidR="00271AA9" w:rsidRPr="00271AA9" w:rsidRDefault="00271AA9" w:rsidP="00271AA9">
      <w:pPr>
        <w:numPr>
          <w:ilvl w:val="0"/>
          <w:numId w:val="5"/>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Verzekeringsplicht bij wonen binnen de EU en werken in derde-land voor een EU-werkgever</w:t>
      </w:r>
    </w:p>
    <w:p w14:paraId="17C61A99" w14:textId="77777777" w:rsidR="00271AA9" w:rsidRPr="00271AA9" w:rsidRDefault="00271AA9" w:rsidP="00271AA9">
      <w:pPr>
        <w:numPr>
          <w:ilvl w:val="0"/>
          <w:numId w:val="5"/>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Mini-job in Duitsland en gevolgen sociale zekerheid</w:t>
      </w:r>
    </w:p>
    <w:p w14:paraId="25F72DA9"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br/>
        <w:t>Jurisprudentie</w:t>
      </w:r>
    </w:p>
    <w:p w14:paraId="169F8137" w14:textId="77777777" w:rsidR="00271AA9" w:rsidRPr="00271AA9" w:rsidRDefault="00271AA9" w:rsidP="00271AA9">
      <w:pPr>
        <w:numPr>
          <w:ilvl w:val="0"/>
          <w:numId w:val="6"/>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Pensioenartikel in het belastingverdrag met Portugal en België</w:t>
      </w:r>
    </w:p>
    <w:p w14:paraId="002CE623" w14:textId="77777777" w:rsidR="00271AA9" w:rsidRPr="00271AA9" w:rsidRDefault="00271AA9" w:rsidP="00271AA9">
      <w:pPr>
        <w:numPr>
          <w:ilvl w:val="0"/>
          <w:numId w:val="6"/>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Inkomensafhankelijke heffingskortingen en buitenlands inkomen</w:t>
      </w:r>
    </w:p>
    <w:p w14:paraId="5585874F" w14:textId="77777777" w:rsidR="00271AA9" w:rsidRPr="00271AA9" w:rsidRDefault="00271AA9" w:rsidP="00271AA9">
      <w:pPr>
        <w:numPr>
          <w:ilvl w:val="0"/>
          <w:numId w:val="6"/>
        </w:numPr>
        <w:spacing w:before="100" w:beforeAutospacing="1" w:after="100" w:afterAutospacing="1" w:line="240" w:lineRule="auto"/>
        <w:ind w:left="1020"/>
        <w:rPr>
          <w:rFonts w:ascii="Arial" w:eastAsia="Times New Roman" w:hAnsi="Arial" w:cs="Arial"/>
          <w:color w:val="444444"/>
          <w:sz w:val="21"/>
          <w:szCs w:val="21"/>
          <w:lang w:val="nl-NL" w:eastAsia="nl-NL"/>
        </w:rPr>
      </w:pPr>
      <w:r w:rsidRPr="00271AA9">
        <w:rPr>
          <w:rFonts w:ascii="Arial" w:eastAsia="Times New Roman" w:hAnsi="Arial" w:cs="Arial"/>
          <w:color w:val="444444"/>
          <w:sz w:val="21"/>
          <w:szCs w:val="21"/>
          <w:lang w:val="nl-NL" w:eastAsia="nl-NL"/>
        </w:rPr>
        <w:t>Vergoedingen van buitenlandse piloten en vrachtwagenchauffeurs</w:t>
      </w:r>
    </w:p>
    <w:p w14:paraId="7EA4BD2F"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br/>
      </w:r>
      <w:proofErr w:type="spellStart"/>
      <w:r w:rsidRPr="00271AA9">
        <w:rPr>
          <w:rFonts w:ascii="Arial" w:eastAsia="Times New Roman" w:hAnsi="Arial" w:cs="Arial"/>
          <w:b/>
          <w:bCs/>
          <w:color w:val="444444"/>
          <w:sz w:val="21"/>
          <w:szCs w:val="21"/>
          <w:lang w:val="nl-NL" w:eastAsia="nl-NL"/>
        </w:rPr>
        <w:t>Brexit</w:t>
      </w:r>
      <w:proofErr w:type="spellEnd"/>
    </w:p>
    <w:p w14:paraId="10FABA59"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br/>
        <w:t>Grensoverschrijdend werken (</w:t>
      </w:r>
      <w:proofErr w:type="spellStart"/>
      <w:r w:rsidRPr="00271AA9">
        <w:rPr>
          <w:rFonts w:ascii="Arial" w:eastAsia="Times New Roman" w:hAnsi="Arial" w:cs="Arial"/>
          <w:b/>
          <w:bCs/>
          <w:color w:val="444444"/>
          <w:sz w:val="21"/>
          <w:szCs w:val="21"/>
          <w:lang w:val="nl-NL" w:eastAsia="nl-NL"/>
        </w:rPr>
        <w:t>wets</w:t>
      </w:r>
      <w:proofErr w:type="spellEnd"/>
      <w:r w:rsidRPr="00271AA9">
        <w:rPr>
          <w:rFonts w:ascii="Arial" w:eastAsia="Times New Roman" w:hAnsi="Arial" w:cs="Arial"/>
          <w:b/>
          <w:bCs/>
          <w:color w:val="444444"/>
          <w:sz w:val="21"/>
          <w:szCs w:val="21"/>
          <w:lang w:val="nl-NL" w:eastAsia="nl-NL"/>
        </w:rPr>
        <w:t>)wijzigingen 2020 in relatie tot de belastingaangifte</w:t>
      </w:r>
    </w:p>
    <w:p w14:paraId="7DCBAEFC" w14:textId="77777777" w:rsidR="00271AA9" w:rsidRPr="00271AA9" w:rsidRDefault="00271AA9" w:rsidP="00271AA9">
      <w:pPr>
        <w:spacing w:after="150" w:line="240" w:lineRule="auto"/>
        <w:rPr>
          <w:rFonts w:ascii="Arial" w:eastAsia="Times New Roman" w:hAnsi="Arial" w:cs="Arial"/>
          <w:color w:val="444444"/>
          <w:sz w:val="21"/>
          <w:szCs w:val="21"/>
          <w:lang w:val="nl-NL" w:eastAsia="nl-NL"/>
        </w:rPr>
      </w:pPr>
      <w:r w:rsidRPr="00271AA9">
        <w:rPr>
          <w:rFonts w:ascii="Arial" w:eastAsia="Times New Roman" w:hAnsi="Arial" w:cs="Arial"/>
          <w:b/>
          <w:bCs/>
          <w:color w:val="444444"/>
          <w:sz w:val="21"/>
          <w:szCs w:val="21"/>
          <w:lang w:val="nl-NL" w:eastAsia="nl-NL"/>
        </w:rPr>
        <w:br/>
        <w:t>14.45 uur         Afsluiting</w:t>
      </w:r>
    </w:p>
    <w:p w14:paraId="2B552070" w14:textId="77777777" w:rsidR="00443648" w:rsidRPr="00271AA9" w:rsidRDefault="00443648">
      <w:pPr>
        <w:rPr>
          <w:lang w:val="nl-NL"/>
        </w:rPr>
      </w:pPr>
    </w:p>
    <w:sectPr w:rsidR="00443648" w:rsidRPr="00271AA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72A12"/>
    <w:multiLevelType w:val="multilevel"/>
    <w:tmpl w:val="5180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62B5D"/>
    <w:multiLevelType w:val="multilevel"/>
    <w:tmpl w:val="9048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A3C03"/>
    <w:multiLevelType w:val="multilevel"/>
    <w:tmpl w:val="DE74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446C9"/>
    <w:multiLevelType w:val="multilevel"/>
    <w:tmpl w:val="9DDE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33032"/>
    <w:multiLevelType w:val="multilevel"/>
    <w:tmpl w:val="48B0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E267EB"/>
    <w:multiLevelType w:val="multilevel"/>
    <w:tmpl w:val="CD28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A9"/>
    <w:rsid w:val="00271AA9"/>
    <w:rsid w:val="00443648"/>
    <w:rsid w:val="00640C2D"/>
    <w:rsid w:val="00C53DCE"/>
    <w:rsid w:val="00D45426"/>
    <w:rsid w:val="00DD72F9"/>
    <w:rsid w:val="00FC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41BF"/>
  <w15:chartTrackingRefBased/>
  <w15:docId w15:val="{47D4F2A9-9A3A-4D8C-B75F-3AD7E2CB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71AA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271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739241">
      <w:bodyDiv w:val="1"/>
      <w:marLeft w:val="0"/>
      <w:marRight w:val="0"/>
      <w:marTop w:val="0"/>
      <w:marBottom w:val="0"/>
      <w:divBdr>
        <w:top w:val="none" w:sz="0" w:space="0" w:color="auto"/>
        <w:left w:val="none" w:sz="0" w:space="0" w:color="auto"/>
        <w:bottom w:val="none" w:sz="0" w:space="0" w:color="auto"/>
        <w:right w:val="none" w:sz="0" w:space="0" w:color="auto"/>
      </w:divBdr>
    </w:div>
    <w:div w:id="19676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3025</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Veldkamp</dc:creator>
  <cp:keywords/>
  <dc:description/>
  <cp:lastModifiedBy>Tamara Veldkamp</cp:lastModifiedBy>
  <cp:revision>1</cp:revision>
  <dcterms:created xsi:type="dcterms:W3CDTF">2020-12-22T12:19:00Z</dcterms:created>
  <dcterms:modified xsi:type="dcterms:W3CDTF">2020-12-22T12:20:00Z</dcterms:modified>
</cp:coreProperties>
</file>